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3"/>
        <w:jc w:val="right"/>
        <w:rPr>
          <w:rFonts w:ascii="Source Sans Pro" w:eastAsia="Source Sans Pro" w:hAnsi="Source Sans Pro" w:cs="Source Sans Pro"/>
          <w:color w:val="464646"/>
          <w:sz w:val="27"/>
          <w:szCs w:val="27"/>
        </w:rPr>
      </w:pPr>
      <w:r>
        <w:rPr>
          <w:rFonts w:ascii="Source Sans Pro" w:eastAsia="Source Sans Pro" w:hAnsi="Source Sans Pro" w:cs="Source Sans Pro"/>
          <w:noProof/>
          <w:color w:val="464646"/>
          <w:sz w:val="27"/>
          <w:szCs w:val="27"/>
          <w:highlight w:val="white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page">
              <wp:posOffset>933450</wp:posOffset>
            </wp:positionH>
            <wp:positionV relativeFrom="page">
              <wp:posOffset>930656</wp:posOffset>
            </wp:positionV>
            <wp:extent cx="2284730" cy="1697990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69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ource Sans Pro" w:eastAsia="Source Sans Pro" w:hAnsi="Source Sans Pro" w:cs="Source Sans Pro"/>
          <w:color w:val="464646"/>
          <w:sz w:val="27"/>
          <w:szCs w:val="27"/>
          <w:highlight w:val="white"/>
        </w:rPr>
        <w:t xml:space="preserve">TNA Australia is an ACNC Registered Charity </w:t>
      </w:r>
      <w:r>
        <w:rPr>
          <w:rFonts w:ascii="Source Sans Pro" w:eastAsia="Source Sans Pro" w:hAnsi="Source Sans Pro" w:cs="Source Sans Pro"/>
          <w:color w:val="464646"/>
          <w:sz w:val="27"/>
          <w:szCs w:val="27"/>
        </w:rPr>
        <w:t xml:space="preserve">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center"/>
        <w:rPr>
          <w:rFonts w:ascii="Source Sans Pro" w:eastAsia="Source Sans Pro" w:hAnsi="Source Sans Pro" w:cs="Source Sans Pro"/>
          <w:color w:val="464646"/>
          <w:sz w:val="27"/>
          <w:szCs w:val="27"/>
        </w:rPr>
      </w:pPr>
      <w:r>
        <w:rPr>
          <w:rFonts w:ascii="Source Sans Pro" w:eastAsia="Source Sans Pro" w:hAnsi="Source Sans Pro" w:cs="Source Sans Pro"/>
          <w:color w:val="464646"/>
          <w:sz w:val="27"/>
          <w:szCs w:val="27"/>
          <w:highlight w:val="white"/>
        </w:rPr>
        <w:t>(36 863 441 816)</w:t>
      </w:r>
      <w:r>
        <w:rPr>
          <w:rFonts w:ascii="Source Sans Pro" w:eastAsia="Source Sans Pro" w:hAnsi="Source Sans Pro" w:cs="Source Sans Pro"/>
          <w:color w:val="464646"/>
          <w:sz w:val="27"/>
          <w:szCs w:val="27"/>
        </w:rPr>
        <w:t xml:space="preserve"> </w:t>
      </w: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center"/>
        <w:rPr>
          <w:rFonts w:ascii="Source Sans Pro" w:eastAsia="Source Sans Pro" w:hAnsi="Source Sans Pro" w:cs="Source Sans Pro"/>
          <w:color w:val="464646"/>
          <w:sz w:val="27"/>
          <w:szCs w:val="27"/>
        </w:rPr>
      </w:pP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center"/>
        <w:rPr>
          <w:rFonts w:ascii="Calibri" w:eastAsia="Calibri" w:hAnsi="Calibri" w:cs="Calibri"/>
        </w:rPr>
      </w:pPr>
      <w:hyperlink r:id="rId5">
        <w:r>
          <w:rPr>
            <w:rFonts w:ascii="Source Sans Pro" w:eastAsia="Source Sans Pro" w:hAnsi="Source Sans Pro" w:cs="Source Sans Pro"/>
            <w:color w:val="1155CC"/>
            <w:sz w:val="27"/>
            <w:szCs w:val="27"/>
            <w:u w:val="single"/>
          </w:rPr>
          <w:t>Home - Trigeminal Neuralgia Association Australia (tnaaustralia.org.au)</w:t>
        </w:r>
      </w:hyperlink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jc w:val="center"/>
        <w:rPr>
          <w:rFonts w:ascii="Source Sans Pro" w:eastAsia="Source Sans Pro" w:hAnsi="Source Sans Pro" w:cs="Source Sans Pro"/>
          <w:color w:val="464646"/>
          <w:sz w:val="27"/>
          <w:szCs w:val="27"/>
        </w:rPr>
      </w:pP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COUNCIL REQUEST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10" w:right="310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am making a request as a sufferer of Trigeminal Neuralgia. TN is a rare and debilitating neurological  condition, often misdiagnosed and leaves sufferers isolated and living life with chronic pain.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6"/>
        <w:rPr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  <w:color w:val="0563C1"/>
          <w:u w:val="single"/>
        </w:rPr>
        <w:t>https://tnaaustralia.org.au/what-is-trigeminal-neuralgia/</w:t>
      </w:r>
      <w:r>
        <w:rPr>
          <w:rFonts w:ascii="Calibri" w:eastAsia="Calibri" w:hAnsi="Calibri" w:cs="Calibri"/>
          <w:color w:val="0563C1"/>
        </w:rPr>
        <w:t xml:space="preserve">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Every year our Association raises awareness on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International Trigeminal Neuralgia Awareness Day 7th October.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3" w:lineRule="auto"/>
        <w:ind w:left="16" w:right="88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awareness day is called Light up in Teal and we encourage Councils to light up a significant building,  bridge or piece of infrastructure in teal to show support for all sufferers of Trigeminal Neuralgia. 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16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2022 we had our most successful year where</w:t>
      </w:r>
      <w:r>
        <w:rPr>
          <w:rFonts w:ascii="Calibri" w:eastAsia="Calibri" w:hAnsi="Calibri" w:cs="Calibri"/>
          <w:color w:val="000000"/>
        </w:rPr>
        <w:t xml:space="preserve"> 11 councils around Australia Lit up in Teal, but we aim to  light up many more cities in 2023, which is also the Associations 20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</w:rPr>
        <w:t xml:space="preserve">Anniversary operating as a Charity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4" w:lineRule="auto"/>
        <w:ind w:left="4" w:right="115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would love my City to get involved in this initiative and commit to our awareness day </w:t>
      </w:r>
      <w:r>
        <w:rPr>
          <w:rFonts w:ascii="Calibri" w:eastAsia="Calibri" w:hAnsi="Calibri" w:cs="Calibri"/>
          <w:color w:val="000000"/>
        </w:rPr>
        <w:t xml:space="preserve">and request that  the council nominates a public building or bridge to Light Up In Teal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2" w:right="400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 Trigeminal Neuralgia Association Australia we are doing all we can to shine a light on the plight of  Trigeminal Neuralgia sufferers, raise awareness, provide support for sufferers and raise funds for  research.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2" w:right="404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Our website will carry stories of all Mu</w:t>
      </w:r>
      <w:r>
        <w:rPr>
          <w:rFonts w:ascii="Calibri" w:eastAsia="Calibri" w:hAnsi="Calibri" w:cs="Calibri"/>
          <w:color w:val="000000"/>
        </w:rPr>
        <w:t xml:space="preserve">nicipal and Corporate Organisations who will be Lighting Up In Teal in support. 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408" w:lineRule="auto"/>
        <w:ind w:left="7" w:right="2020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https://tnaaustralia.org.au/presidents-monthly-musings-oct-2022-light-up-in-teal/ We look forward to hearing from you in due course</w:t>
      </w: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Roboto" w:eastAsia="Roboto" w:hAnsi="Roboto" w:cs="Roboto"/>
          <w:color w:val="616161"/>
          <w:sz w:val="21"/>
          <w:szCs w:val="21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-107949</wp:posOffset>
            </wp:positionH>
            <wp:positionV relativeFrom="paragraph">
              <wp:posOffset>19050</wp:posOffset>
            </wp:positionV>
            <wp:extent cx="2284730" cy="169799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69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5A32" w:rsidRDefault="00ED2191">
      <w:pPr>
        <w:widowControl w:val="0"/>
        <w:spacing w:line="240" w:lineRule="auto"/>
        <w:ind w:right="663"/>
        <w:jc w:val="right"/>
        <w:rPr>
          <w:rFonts w:ascii="Source Sans Pro" w:eastAsia="Source Sans Pro" w:hAnsi="Source Sans Pro" w:cs="Source Sans Pro"/>
          <w:color w:val="464646"/>
          <w:sz w:val="27"/>
          <w:szCs w:val="27"/>
        </w:rPr>
      </w:pPr>
      <w:r>
        <w:rPr>
          <w:rFonts w:ascii="Source Sans Pro" w:eastAsia="Source Sans Pro" w:hAnsi="Source Sans Pro" w:cs="Source Sans Pro"/>
          <w:color w:val="464646"/>
          <w:sz w:val="27"/>
          <w:szCs w:val="27"/>
          <w:highlight w:val="white"/>
        </w:rPr>
        <w:t xml:space="preserve">TNA Australia is an ACNC Registered Charity </w:t>
      </w:r>
      <w:r>
        <w:rPr>
          <w:rFonts w:ascii="Source Sans Pro" w:eastAsia="Source Sans Pro" w:hAnsi="Source Sans Pro" w:cs="Source Sans Pro"/>
          <w:color w:val="464646"/>
          <w:sz w:val="27"/>
          <w:szCs w:val="27"/>
        </w:rPr>
        <w:t xml:space="preserve"> </w:t>
      </w:r>
    </w:p>
    <w:p w:rsidR="00475A32" w:rsidRDefault="00ED2191">
      <w:pPr>
        <w:widowControl w:val="0"/>
        <w:spacing w:before="209" w:line="240" w:lineRule="auto"/>
        <w:jc w:val="center"/>
        <w:rPr>
          <w:rFonts w:ascii="Source Sans Pro" w:eastAsia="Source Sans Pro" w:hAnsi="Source Sans Pro" w:cs="Source Sans Pro"/>
          <w:color w:val="464646"/>
          <w:sz w:val="27"/>
          <w:szCs w:val="27"/>
        </w:rPr>
      </w:pPr>
      <w:r>
        <w:rPr>
          <w:rFonts w:ascii="Source Sans Pro" w:eastAsia="Source Sans Pro" w:hAnsi="Source Sans Pro" w:cs="Source Sans Pro"/>
          <w:color w:val="464646"/>
          <w:sz w:val="27"/>
          <w:szCs w:val="27"/>
          <w:highlight w:val="white"/>
        </w:rPr>
        <w:t>(36 863 441 816)</w:t>
      </w:r>
      <w:r>
        <w:rPr>
          <w:rFonts w:ascii="Source Sans Pro" w:eastAsia="Source Sans Pro" w:hAnsi="Source Sans Pro" w:cs="Source Sans Pro"/>
          <w:color w:val="464646"/>
          <w:sz w:val="27"/>
          <w:szCs w:val="27"/>
        </w:rPr>
        <w:t xml:space="preserve"> </w:t>
      </w:r>
    </w:p>
    <w:p w:rsidR="00475A32" w:rsidRDefault="00475A32">
      <w:pPr>
        <w:widowControl w:val="0"/>
        <w:spacing w:before="209" w:line="240" w:lineRule="auto"/>
        <w:jc w:val="center"/>
        <w:rPr>
          <w:rFonts w:ascii="Source Sans Pro" w:eastAsia="Source Sans Pro" w:hAnsi="Source Sans Pro" w:cs="Source Sans Pro"/>
          <w:color w:val="464646"/>
          <w:sz w:val="27"/>
          <w:szCs w:val="27"/>
        </w:rPr>
      </w:pPr>
    </w:p>
    <w:p w:rsidR="00475A32" w:rsidRDefault="00ED2191">
      <w:pPr>
        <w:widowControl w:val="0"/>
        <w:spacing w:before="209" w:line="240" w:lineRule="auto"/>
        <w:jc w:val="center"/>
        <w:rPr>
          <w:rFonts w:ascii="Calibri" w:eastAsia="Calibri" w:hAnsi="Calibri" w:cs="Calibri"/>
        </w:rPr>
      </w:pPr>
      <w:hyperlink r:id="rId6">
        <w:r>
          <w:rPr>
            <w:rFonts w:ascii="Source Sans Pro" w:eastAsia="Source Sans Pro" w:hAnsi="Source Sans Pro" w:cs="Source Sans Pro"/>
            <w:color w:val="1155CC"/>
            <w:sz w:val="27"/>
            <w:szCs w:val="27"/>
            <w:u w:val="single"/>
          </w:rPr>
          <w:t>Home - Trigeminal Neuralgia Association Australia (tnaaustralia.org.au)</w:t>
        </w:r>
      </w:hyperlink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Roboto" w:eastAsia="Roboto" w:hAnsi="Roboto" w:cs="Roboto"/>
          <w:color w:val="616161"/>
          <w:sz w:val="21"/>
          <w:szCs w:val="21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616161"/>
          <w:sz w:val="21"/>
          <w:szCs w:val="21"/>
        </w:rPr>
      </w:pP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Roboto" w:eastAsia="Roboto" w:hAnsi="Roboto" w:cs="Roboto"/>
          <w:color w:val="616161"/>
          <w:sz w:val="21"/>
          <w:szCs w:val="21"/>
        </w:rPr>
      </w:pP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</w:rPr>
        <w:t xml:space="preserve">PRESS RELEASE 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5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</w:rPr>
        <w:t xml:space="preserve">Trigeminal Neuralgia.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8" w:lineRule="auto"/>
        <w:ind w:left="14" w:right="241" w:firstLine="3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13 to 27 out of every 100,000 people are racked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>with debilitating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 pain and in a desperate state of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mind with this rare medical disorder.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38" w:lineRule="auto"/>
        <w:ind w:left="10" w:right="96" w:hanging="4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Trigeminal Neuralgia is described as the ‘suicide disease’ because patients look fine and seem well,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but meanwhile are suffering electric-like shocks, knife-like stabbings and excruciating burning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sensations in one side of their face, and sometimes on bo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th sides.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38" w:lineRule="auto"/>
        <w:ind w:left="14" w:right="1095" w:hanging="9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The rarity of Trigeminal Neuralgia means many GPs and even specialist neurologists and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neurosurgeons have no or limited knowledge and even less experience.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39" w:lineRule="auto"/>
        <w:ind w:left="9" w:right="139" w:hanging="4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Trigeminal Neuralgia Association Australia is guided by a Medical Advisory Board, whose members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have decades of experience and knowledge to help support Trigeminal Neuralgia sufferers. These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>experienced medicos help provide precise medications or surgica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l procedures that are hailed as a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“life changer”. Over days or months, sufferers who receive expert treatment “reset their life”. Most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are able to return to work or their busy volunteering lives. These people are the success stories!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1" w:right="103" w:firstLine="16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>Meanwhile, hundreds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 of sufferers wait undiagnosed, or worse many cannot find the specialist help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they need. Sufferers live with acute and chronic pain which impacts their mental health and isolates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them further, especially when they live in regional and remote areas with l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imited resources.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7"/>
        <w:rPr>
          <w:rFonts w:ascii="Roboto" w:eastAsia="Roboto" w:hAnsi="Roboto" w:cs="Roboto"/>
          <w:color w:val="0563C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Learn more about Trigeminal Neuralgia </w:t>
      </w:r>
      <w:r>
        <w:rPr>
          <w:rFonts w:ascii="Roboto" w:eastAsia="Roboto" w:hAnsi="Roboto" w:cs="Roboto"/>
          <w:color w:val="0563C1"/>
          <w:sz w:val="21"/>
          <w:szCs w:val="21"/>
          <w:highlight w:val="white"/>
          <w:u w:val="single"/>
        </w:rPr>
        <w:t>HERE</w:t>
      </w:r>
      <w:r>
        <w:rPr>
          <w:rFonts w:ascii="Roboto" w:eastAsia="Roboto" w:hAnsi="Roboto" w:cs="Roboto"/>
          <w:color w:val="0563C1"/>
          <w:sz w:val="21"/>
          <w:szCs w:val="21"/>
        </w:rPr>
        <w:t xml:space="preserve">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7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</w:rPr>
        <w:t xml:space="preserve">By lighting up in teal, we raise awareness and show that “they are not alone”. </w:t>
      </w: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14" w:right="93" w:hanging="9"/>
        <w:rPr>
          <w:rFonts w:ascii="Roboto" w:eastAsia="Roboto" w:hAnsi="Roboto" w:cs="Roboto"/>
          <w:color w:val="616161"/>
          <w:sz w:val="21"/>
          <w:szCs w:val="21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The International Trigeminal Neuralgia Awareness Day, on October 7th, is a movement that will light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 xml:space="preserve">up some cities and towns across Australia and around the world. The colour teal is the recognised </w:t>
      </w:r>
      <w:r>
        <w:rPr>
          <w:rFonts w:ascii="Roboto" w:eastAsia="Roboto" w:hAnsi="Roboto" w:cs="Roboto"/>
          <w:color w:val="616161"/>
          <w:sz w:val="21"/>
          <w:szCs w:val="21"/>
        </w:rPr>
        <w:t xml:space="preserve"> branded colour for organisations which support trigemina</w:t>
      </w:r>
      <w:r>
        <w:rPr>
          <w:rFonts w:ascii="Roboto" w:eastAsia="Roboto" w:hAnsi="Roboto" w:cs="Roboto"/>
          <w:color w:val="616161"/>
          <w:sz w:val="21"/>
          <w:szCs w:val="21"/>
        </w:rPr>
        <w:t>l neuralgia sufferers around the world.</w:t>
      </w:r>
    </w:p>
    <w:p w:rsidR="00475A32" w:rsidRDefault="00475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14" w:right="93" w:hanging="9"/>
        <w:rPr>
          <w:rFonts w:ascii="Roboto" w:eastAsia="Roboto" w:hAnsi="Roboto" w:cs="Roboto"/>
          <w:color w:val="616161"/>
          <w:sz w:val="21"/>
          <w:szCs w:val="21"/>
          <w:highlight w:val="white"/>
        </w:rPr>
      </w:pPr>
    </w:p>
    <w:p w:rsidR="00475A32" w:rsidRDefault="00ED2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14" w:right="93" w:hanging="9"/>
        <w:rPr>
          <w:rFonts w:ascii="Roboto" w:eastAsia="Roboto" w:hAnsi="Roboto" w:cs="Roboto"/>
          <w:color w:val="616161"/>
          <w:sz w:val="21"/>
          <w:szCs w:val="21"/>
          <w:highlight w:val="white"/>
        </w:rPr>
      </w:pP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>Per</w:t>
      </w:r>
      <w:r>
        <w:rPr>
          <w:rFonts w:ascii="Roboto" w:eastAsia="Roboto" w:hAnsi="Roboto" w:cs="Roboto"/>
          <w:color w:val="616161"/>
          <w:sz w:val="21"/>
          <w:szCs w:val="21"/>
          <w:highlight w:val="white"/>
        </w:rPr>
        <w:t>haps this light might save one life!</w:t>
      </w:r>
    </w:p>
    <w:sectPr w:rsidR="00475A32">
      <w:pgSz w:w="12240" w:h="15840"/>
      <w:pgMar w:top="1435" w:right="1400" w:bottom="1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32"/>
    <w:rsid w:val="00475A32"/>
    <w:rsid w:val="00E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6C9A2-6D7E-4421-9718-B37BE01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naaustralia.org.au/" TargetMode="External"/><Relationship Id="rId5" Type="http://schemas.openxmlformats.org/officeDocument/2006/relationships/hyperlink" Target="https://tnaaustralia.org.a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Donnelly</dc:creator>
  <cp:lastModifiedBy>Lyn Donnelly</cp:lastModifiedBy>
  <cp:revision>2</cp:revision>
  <dcterms:created xsi:type="dcterms:W3CDTF">2023-02-17T06:15:00Z</dcterms:created>
  <dcterms:modified xsi:type="dcterms:W3CDTF">2023-02-17T06:15:00Z</dcterms:modified>
</cp:coreProperties>
</file>